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A1" w:rsidRPr="00061BA9" w:rsidRDefault="00B467A1" w:rsidP="00B467A1">
      <w:pPr>
        <w:widowControl/>
        <w:shd w:val="clear" w:color="auto" w:fill="FFFFFF"/>
        <w:spacing w:line="460" w:lineRule="exact"/>
        <w:ind w:firstLine="480"/>
        <w:jc w:val="center"/>
        <w:rPr>
          <w:rFonts w:ascii="宋体" w:eastAsia="宋体" w:hAnsi="宋体" w:cs="宋体"/>
          <w:kern w:val="0"/>
          <w:sz w:val="32"/>
          <w:szCs w:val="32"/>
        </w:rPr>
      </w:pPr>
      <w:r w:rsidRPr="00061BA9">
        <w:rPr>
          <w:rFonts w:ascii="宋体" w:eastAsia="宋体" w:hAnsi="宋体" w:cs="宋体" w:hint="eastAsia"/>
          <w:b/>
          <w:bCs/>
          <w:kern w:val="0"/>
          <w:sz w:val="32"/>
          <w:szCs w:val="32"/>
        </w:rPr>
        <w:t>融资担保公司资产比例管理办法</w:t>
      </w:r>
    </w:p>
    <w:p w:rsidR="00B467A1" w:rsidRPr="0015195B" w:rsidRDefault="00B467A1" w:rsidP="00B467A1">
      <w:pPr>
        <w:widowControl/>
        <w:shd w:val="clear" w:color="auto" w:fill="FFFFFF"/>
        <w:spacing w:line="460" w:lineRule="exact"/>
        <w:ind w:firstLine="480"/>
        <w:jc w:val="center"/>
        <w:rPr>
          <w:rFonts w:ascii="宋体" w:eastAsia="宋体" w:hAnsi="宋体" w:cs="宋体"/>
          <w:color w:val="333333"/>
          <w:kern w:val="0"/>
          <w:sz w:val="24"/>
          <w:szCs w:val="24"/>
        </w:rPr>
      </w:pPr>
      <w:r w:rsidRPr="0015195B">
        <w:rPr>
          <w:rFonts w:ascii="宋体" w:eastAsia="宋体" w:hAnsi="宋体" w:cs="宋体" w:hint="eastAsia"/>
          <w:b/>
          <w:bCs/>
          <w:color w:val="333333"/>
          <w:kern w:val="0"/>
          <w:sz w:val="24"/>
          <w:szCs w:val="24"/>
        </w:rPr>
        <w:t>第一章  总则</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第一条  为引导融资担保公司专注主业、审慎经营，确保融资担保公司保持充足代偿能力，优先保障资产流动性和安全性，根据《融资担保公司监督管理条例》有关规定，制定本办法。</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第二条  融资担保公司应当按照本办法规定经营管理各级资产。本办法中的资产比例应当根据融资担保公司非合并财务报表计算。</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第三条  监督管理部门按照本办法对融资担保公司资产进行监督管理。</w:t>
      </w:r>
    </w:p>
    <w:p w:rsidR="00B467A1" w:rsidRPr="0015195B" w:rsidRDefault="00B467A1" w:rsidP="00B467A1">
      <w:pPr>
        <w:widowControl/>
        <w:shd w:val="clear" w:color="auto" w:fill="FFFFFF"/>
        <w:spacing w:line="460" w:lineRule="exact"/>
        <w:ind w:firstLine="480"/>
        <w:jc w:val="center"/>
        <w:rPr>
          <w:rFonts w:ascii="宋体" w:eastAsia="宋体" w:hAnsi="宋体" w:cs="宋体"/>
          <w:color w:val="333333"/>
          <w:kern w:val="0"/>
          <w:sz w:val="24"/>
          <w:szCs w:val="24"/>
        </w:rPr>
      </w:pPr>
      <w:r w:rsidRPr="0015195B">
        <w:rPr>
          <w:rFonts w:ascii="宋体" w:eastAsia="宋体" w:hAnsi="宋体" w:cs="宋体" w:hint="eastAsia"/>
          <w:b/>
          <w:bCs/>
          <w:color w:val="333333"/>
          <w:kern w:val="0"/>
          <w:sz w:val="24"/>
          <w:szCs w:val="24"/>
        </w:rPr>
        <w:t>第二章  资产分级</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第四条  融资担保公司主要资产按照形态分为Ⅰ、Ⅱ、Ⅲ级。</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第五条  Ⅰ</w:t>
      </w:r>
      <w:proofErr w:type="gramStart"/>
      <w:r w:rsidRPr="0015195B">
        <w:rPr>
          <w:rFonts w:ascii="宋体" w:eastAsia="宋体" w:hAnsi="宋体" w:cs="宋体" w:hint="eastAsia"/>
          <w:color w:val="333333"/>
          <w:kern w:val="0"/>
          <w:sz w:val="24"/>
          <w:szCs w:val="24"/>
        </w:rPr>
        <w:t>级资产</w:t>
      </w:r>
      <w:proofErr w:type="gramEnd"/>
      <w:r w:rsidRPr="0015195B">
        <w:rPr>
          <w:rFonts w:ascii="宋体" w:eastAsia="宋体" w:hAnsi="宋体" w:cs="宋体" w:hint="eastAsia"/>
          <w:color w:val="333333"/>
          <w:kern w:val="0"/>
          <w:sz w:val="24"/>
          <w:szCs w:val="24"/>
        </w:rPr>
        <w:t>包括：</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（一）现金；</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（二）银行存款；</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（三）存出保证金；</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（四）货币市场基金；</w:t>
      </w:r>
      <w:bookmarkStart w:id="0" w:name="_GoBack"/>
      <w:bookmarkEnd w:id="0"/>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（五）国债、金融债券；</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（六）可随时赎回或三个月内到期的商业银行理财产品；</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（七）债券信用评级AAA级的债券；</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（八）其他货币资金。</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第六条  Ⅱ</w:t>
      </w:r>
      <w:proofErr w:type="gramStart"/>
      <w:r w:rsidRPr="0015195B">
        <w:rPr>
          <w:rFonts w:ascii="宋体" w:eastAsia="宋体" w:hAnsi="宋体" w:cs="宋体" w:hint="eastAsia"/>
          <w:color w:val="333333"/>
          <w:kern w:val="0"/>
          <w:sz w:val="24"/>
          <w:szCs w:val="24"/>
        </w:rPr>
        <w:t>级资产</w:t>
      </w:r>
      <w:proofErr w:type="gramEnd"/>
      <w:r w:rsidRPr="0015195B">
        <w:rPr>
          <w:rFonts w:ascii="宋体" w:eastAsia="宋体" w:hAnsi="宋体" w:cs="宋体" w:hint="eastAsia"/>
          <w:color w:val="333333"/>
          <w:kern w:val="0"/>
          <w:sz w:val="24"/>
          <w:szCs w:val="24"/>
        </w:rPr>
        <w:t>包括：</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（一）商业银行理财产品（不含第五条第六项）；</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（二）债券信用评级AA级、AA+级的债券；</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（三）对其他融资担保公司或再担保公司的股权投资；</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（四）对在</w:t>
      </w:r>
      <w:proofErr w:type="gramStart"/>
      <w:r w:rsidRPr="0015195B">
        <w:rPr>
          <w:rFonts w:ascii="宋体" w:eastAsia="宋体" w:hAnsi="宋体" w:cs="宋体" w:hint="eastAsia"/>
          <w:color w:val="333333"/>
          <w:kern w:val="0"/>
          <w:sz w:val="24"/>
          <w:szCs w:val="24"/>
        </w:rPr>
        <w:t>保客户</w:t>
      </w:r>
      <w:proofErr w:type="gramEnd"/>
      <w:r w:rsidRPr="0015195B">
        <w:rPr>
          <w:rFonts w:ascii="宋体" w:eastAsia="宋体" w:hAnsi="宋体" w:cs="宋体" w:hint="eastAsia"/>
          <w:color w:val="333333"/>
          <w:kern w:val="0"/>
          <w:sz w:val="24"/>
          <w:szCs w:val="24"/>
        </w:rPr>
        <w:t>股权投资20%部分（包括但不限于优先股和普通股）；</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（五）对在</w:t>
      </w:r>
      <w:proofErr w:type="gramStart"/>
      <w:r w:rsidRPr="0015195B">
        <w:rPr>
          <w:rFonts w:ascii="宋体" w:eastAsia="宋体" w:hAnsi="宋体" w:cs="宋体" w:hint="eastAsia"/>
          <w:color w:val="333333"/>
          <w:kern w:val="0"/>
          <w:sz w:val="24"/>
          <w:szCs w:val="24"/>
        </w:rPr>
        <w:t>保客户</w:t>
      </w:r>
      <w:proofErr w:type="gramEnd"/>
      <w:r w:rsidRPr="0015195B">
        <w:rPr>
          <w:rFonts w:ascii="宋体" w:eastAsia="宋体" w:hAnsi="宋体" w:cs="宋体" w:hint="eastAsia"/>
          <w:color w:val="333333"/>
          <w:kern w:val="0"/>
          <w:sz w:val="24"/>
          <w:szCs w:val="24"/>
        </w:rPr>
        <w:t>且合同期限六个月以内的委托贷款40%部分；</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（六）不超过净资产30%的自用型房产。</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第七条  Ⅲ</w:t>
      </w:r>
      <w:proofErr w:type="gramStart"/>
      <w:r w:rsidRPr="0015195B">
        <w:rPr>
          <w:rFonts w:ascii="宋体" w:eastAsia="宋体" w:hAnsi="宋体" w:cs="宋体" w:hint="eastAsia"/>
          <w:color w:val="333333"/>
          <w:kern w:val="0"/>
          <w:sz w:val="24"/>
          <w:szCs w:val="24"/>
        </w:rPr>
        <w:t>级资产</w:t>
      </w:r>
      <w:proofErr w:type="gramEnd"/>
      <w:r w:rsidRPr="0015195B">
        <w:rPr>
          <w:rFonts w:ascii="宋体" w:eastAsia="宋体" w:hAnsi="宋体" w:cs="宋体" w:hint="eastAsia"/>
          <w:color w:val="333333"/>
          <w:kern w:val="0"/>
          <w:sz w:val="24"/>
          <w:szCs w:val="24"/>
        </w:rPr>
        <w:t>包括：</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（一）对在</w:t>
      </w:r>
      <w:proofErr w:type="gramStart"/>
      <w:r w:rsidRPr="0015195B">
        <w:rPr>
          <w:rFonts w:ascii="宋体" w:eastAsia="宋体" w:hAnsi="宋体" w:cs="宋体" w:hint="eastAsia"/>
          <w:color w:val="333333"/>
          <w:kern w:val="0"/>
          <w:sz w:val="24"/>
          <w:szCs w:val="24"/>
        </w:rPr>
        <w:t>保客户</w:t>
      </w:r>
      <w:proofErr w:type="gramEnd"/>
      <w:r w:rsidRPr="0015195B">
        <w:rPr>
          <w:rFonts w:ascii="宋体" w:eastAsia="宋体" w:hAnsi="宋体" w:cs="宋体" w:hint="eastAsia"/>
          <w:color w:val="333333"/>
          <w:kern w:val="0"/>
          <w:sz w:val="24"/>
          <w:szCs w:val="24"/>
        </w:rPr>
        <w:t>股权投资80%部分以及其他股权类资产（包括但不限于优先股和普通股）；</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（二）债券信用评级AA-级以下或无债券信用评级的债券；</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lastRenderedPageBreak/>
        <w:t>（三）投资购买的信托产品、资产管理计划、基金产品、资产支持证券等；</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（四）对在</w:t>
      </w:r>
      <w:proofErr w:type="gramStart"/>
      <w:r w:rsidRPr="0015195B">
        <w:rPr>
          <w:rFonts w:ascii="宋体" w:eastAsia="宋体" w:hAnsi="宋体" w:cs="宋体" w:hint="eastAsia"/>
          <w:color w:val="333333"/>
          <w:kern w:val="0"/>
          <w:sz w:val="24"/>
          <w:szCs w:val="24"/>
        </w:rPr>
        <w:t>保客户</w:t>
      </w:r>
      <w:proofErr w:type="gramEnd"/>
      <w:r w:rsidRPr="0015195B">
        <w:rPr>
          <w:rFonts w:ascii="宋体" w:eastAsia="宋体" w:hAnsi="宋体" w:cs="宋体" w:hint="eastAsia"/>
          <w:color w:val="333333"/>
          <w:kern w:val="0"/>
          <w:sz w:val="24"/>
          <w:szCs w:val="24"/>
        </w:rPr>
        <w:t>且合同期限六个月以内的委托贷款60%部分，以及其他委托贷款；</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（五）非自用型房产；</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（六）自用型房产超出净资产30%的部分；</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（七）其他应收款。</w:t>
      </w:r>
    </w:p>
    <w:p w:rsidR="00B467A1" w:rsidRPr="0015195B" w:rsidRDefault="00B467A1" w:rsidP="00B467A1">
      <w:pPr>
        <w:widowControl/>
        <w:shd w:val="clear" w:color="auto" w:fill="FFFFFF"/>
        <w:spacing w:line="460" w:lineRule="exact"/>
        <w:ind w:firstLine="480"/>
        <w:jc w:val="center"/>
        <w:rPr>
          <w:rFonts w:ascii="宋体" w:eastAsia="宋体" w:hAnsi="宋体" w:cs="宋体"/>
          <w:color w:val="333333"/>
          <w:kern w:val="0"/>
          <w:sz w:val="24"/>
          <w:szCs w:val="24"/>
        </w:rPr>
      </w:pPr>
      <w:r w:rsidRPr="0015195B">
        <w:rPr>
          <w:rFonts w:ascii="宋体" w:eastAsia="宋体" w:hAnsi="宋体" w:cs="宋体" w:hint="eastAsia"/>
          <w:b/>
          <w:bCs/>
          <w:color w:val="333333"/>
          <w:kern w:val="0"/>
          <w:sz w:val="24"/>
          <w:szCs w:val="24"/>
        </w:rPr>
        <w:t>第三章 资产比例管理</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第八条  融资担保公司净资产与未到期责任准备金、担保赔偿准备金之和不得低于资产总额的60%。</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第九条  融资担保公司Ⅰ级资产、Ⅱ</w:t>
      </w:r>
      <w:proofErr w:type="gramStart"/>
      <w:r w:rsidRPr="0015195B">
        <w:rPr>
          <w:rFonts w:ascii="宋体" w:eastAsia="宋体" w:hAnsi="宋体" w:cs="宋体" w:hint="eastAsia"/>
          <w:color w:val="333333"/>
          <w:kern w:val="0"/>
          <w:sz w:val="24"/>
          <w:szCs w:val="24"/>
        </w:rPr>
        <w:t>级资产</w:t>
      </w:r>
      <w:proofErr w:type="gramEnd"/>
      <w:r w:rsidRPr="0015195B">
        <w:rPr>
          <w:rFonts w:ascii="宋体" w:eastAsia="宋体" w:hAnsi="宋体" w:cs="宋体" w:hint="eastAsia"/>
          <w:color w:val="333333"/>
          <w:kern w:val="0"/>
          <w:sz w:val="24"/>
          <w:szCs w:val="24"/>
        </w:rPr>
        <w:t>之和不得低于资产总额扣除应收</w:t>
      </w:r>
      <w:proofErr w:type="gramStart"/>
      <w:r w:rsidRPr="0015195B">
        <w:rPr>
          <w:rFonts w:ascii="宋体" w:eastAsia="宋体" w:hAnsi="宋体" w:cs="宋体" w:hint="eastAsia"/>
          <w:color w:val="333333"/>
          <w:kern w:val="0"/>
          <w:sz w:val="24"/>
          <w:szCs w:val="24"/>
        </w:rPr>
        <w:t>代偿款</w:t>
      </w:r>
      <w:proofErr w:type="gramEnd"/>
      <w:r w:rsidRPr="0015195B">
        <w:rPr>
          <w:rFonts w:ascii="宋体" w:eastAsia="宋体" w:hAnsi="宋体" w:cs="宋体" w:hint="eastAsia"/>
          <w:color w:val="333333"/>
          <w:kern w:val="0"/>
          <w:sz w:val="24"/>
          <w:szCs w:val="24"/>
        </w:rPr>
        <w:t>后的70%；Ⅰ</w:t>
      </w:r>
      <w:proofErr w:type="gramStart"/>
      <w:r w:rsidRPr="0015195B">
        <w:rPr>
          <w:rFonts w:ascii="宋体" w:eastAsia="宋体" w:hAnsi="宋体" w:cs="宋体" w:hint="eastAsia"/>
          <w:color w:val="333333"/>
          <w:kern w:val="0"/>
          <w:sz w:val="24"/>
          <w:szCs w:val="24"/>
        </w:rPr>
        <w:t>级资产</w:t>
      </w:r>
      <w:proofErr w:type="gramEnd"/>
      <w:r w:rsidRPr="0015195B">
        <w:rPr>
          <w:rFonts w:ascii="宋体" w:eastAsia="宋体" w:hAnsi="宋体" w:cs="宋体" w:hint="eastAsia"/>
          <w:color w:val="333333"/>
          <w:kern w:val="0"/>
          <w:sz w:val="24"/>
          <w:szCs w:val="24"/>
        </w:rPr>
        <w:t>不得低于资产总额扣除应收</w:t>
      </w:r>
      <w:proofErr w:type="gramStart"/>
      <w:r w:rsidRPr="0015195B">
        <w:rPr>
          <w:rFonts w:ascii="宋体" w:eastAsia="宋体" w:hAnsi="宋体" w:cs="宋体" w:hint="eastAsia"/>
          <w:color w:val="333333"/>
          <w:kern w:val="0"/>
          <w:sz w:val="24"/>
          <w:szCs w:val="24"/>
        </w:rPr>
        <w:t>代偿款</w:t>
      </w:r>
      <w:proofErr w:type="gramEnd"/>
      <w:r w:rsidRPr="0015195B">
        <w:rPr>
          <w:rFonts w:ascii="宋体" w:eastAsia="宋体" w:hAnsi="宋体" w:cs="宋体" w:hint="eastAsia"/>
          <w:color w:val="333333"/>
          <w:kern w:val="0"/>
          <w:sz w:val="24"/>
          <w:szCs w:val="24"/>
        </w:rPr>
        <w:t>后的20%；Ⅲ</w:t>
      </w:r>
      <w:proofErr w:type="gramStart"/>
      <w:r w:rsidRPr="0015195B">
        <w:rPr>
          <w:rFonts w:ascii="宋体" w:eastAsia="宋体" w:hAnsi="宋体" w:cs="宋体" w:hint="eastAsia"/>
          <w:color w:val="333333"/>
          <w:kern w:val="0"/>
          <w:sz w:val="24"/>
          <w:szCs w:val="24"/>
        </w:rPr>
        <w:t>级资产</w:t>
      </w:r>
      <w:proofErr w:type="gramEnd"/>
      <w:r w:rsidRPr="0015195B">
        <w:rPr>
          <w:rFonts w:ascii="宋体" w:eastAsia="宋体" w:hAnsi="宋体" w:cs="宋体" w:hint="eastAsia"/>
          <w:color w:val="333333"/>
          <w:kern w:val="0"/>
          <w:sz w:val="24"/>
          <w:szCs w:val="24"/>
        </w:rPr>
        <w:t>不得高于资产总额扣除应收</w:t>
      </w:r>
      <w:proofErr w:type="gramStart"/>
      <w:r w:rsidRPr="0015195B">
        <w:rPr>
          <w:rFonts w:ascii="宋体" w:eastAsia="宋体" w:hAnsi="宋体" w:cs="宋体" w:hint="eastAsia"/>
          <w:color w:val="333333"/>
          <w:kern w:val="0"/>
          <w:sz w:val="24"/>
          <w:szCs w:val="24"/>
        </w:rPr>
        <w:t>代偿款</w:t>
      </w:r>
      <w:proofErr w:type="gramEnd"/>
      <w:r w:rsidRPr="0015195B">
        <w:rPr>
          <w:rFonts w:ascii="宋体" w:eastAsia="宋体" w:hAnsi="宋体" w:cs="宋体" w:hint="eastAsia"/>
          <w:color w:val="333333"/>
          <w:kern w:val="0"/>
          <w:sz w:val="24"/>
          <w:szCs w:val="24"/>
        </w:rPr>
        <w:t>后的30%。</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第十条  监督管理部门可将融资担保公司的其他资产依据其流动性和安全性情况计入Ⅱ级资产、Ⅲ</w:t>
      </w:r>
      <w:proofErr w:type="gramStart"/>
      <w:r w:rsidRPr="0015195B">
        <w:rPr>
          <w:rFonts w:ascii="宋体" w:eastAsia="宋体" w:hAnsi="宋体" w:cs="宋体" w:hint="eastAsia"/>
          <w:color w:val="333333"/>
          <w:kern w:val="0"/>
          <w:sz w:val="24"/>
          <w:szCs w:val="24"/>
        </w:rPr>
        <w:t>级资产</w:t>
      </w:r>
      <w:proofErr w:type="gramEnd"/>
      <w:r w:rsidRPr="0015195B">
        <w:rPr>
          <w:rFonts w:ascii="宋体" w:eastAsia="宋体" w:hAnsi="宋体" w:cs="宋体" w:hint="eastAsia"/>
          <w:color w:val="333333"/>
          <w:kern w:val="0"/>
          <w:sz w:val="24"/>
          <w:szCs w:val="24"/>
        </w:rPr>
        <w:t>,并将计入标准向国务院银行业监督管理机构备案。</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第十一条  融资担保公司受托管理的政府性或财政专项资金在计算本办法规定的Ⅰ级资产、Ⅱ级资产、Ⅲ级资产、资产总额以及资产比例时应予扣除。</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第十二条  融资担保公司应当建立动态的资产比例管理机制，确保资产等各项风险指标符合规定比例。</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第十三条  融资担保公司应当按照监督管理部门要求报送资产比例等风险控制指标情况，并适时向银行业金融机构等合作对象披露前述情况。</w:t>
      </w:r>
    </w:p>
    <w:p w:rsidR="00B467A1" w:rsidRPr="0015195B" w:rsidRDefault="00B467A1" w:rsidP="00B467A1">
      <w:pPr>
        <w:widowControl/>
        <w:shd w:val="clear" w:color="auto" w:fill="FFFFFF"/>
        <w:spacing w:line="460" w:lineRule="exact"/>
        <w:ind w:firstLine="480"/>
        <w:jc w:val="center"/>
        <w:rPr>
          <w:rFonts w:ascii="宋体" w:eastAsia="宋体" w:hAnsi="宋体" w:cs="宋体"/>
          <w:color w:val="333333"/>
          <w:kern w:val="0"/>
          <w:sz w:val="24"/>
          <w:szCs w:val="24"/>
        </w:rPr>
      </w:pPr>
      <w:r w:rsidRPr="0015195B">
        <w:rPr>
          <w:rFonts w:ascii="宋体" w:eastAsia="宋体" w:hAnsi="宋体" w:cs="宋体" w:hint="eastAsia"/>
          <w:b/>
          <w:bCs/>
          <w:color w:val="333333"/>
          <w:kern w:val="0"/>
          <w:sz w:val="24"/>
          <w:szCs w:val="24"/>
        </w:rPr>
        <w:t>第四章  附则</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第十四条  本办法适用于在中华人民共和国境内依法设立的融资担保公司及颁发融资担保业务经营许可证的机构。</w:t>
      </w:r>
    </w:p>
    <w:p w:rsidR="00B467A1" w:rsidRPr="0015195B"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第十五条  本办法施行前，融资担保公司自有资金投资比例符合原有监管要求，但未达到本办法要求的，监督管理部门可根据实际给予不同时限的过渡期安排，达标时限不应晚于2019年末。逾期仍不符合本办法规定条件的，由监督管理部门按照《融资担保公司监督管理条例》的规定处罚。</w:t>
      </w:r>
    </w:p>
    <w:p w:rsidR="00D40629" w:rsidRPr="00B467A1" w:rsidRDefault="00B467A1" w:rsidP="00B467A1">
      <w:pPr>
        <w:widowControl/>
        <w:shd w:val="clear" w:color="auto" w:fill="FFFFFF"/>
        <w:spacing w:line="460" w:lineRule="exact"/>
        <w:ind w:firstLine="480"/>
        <w:jc w:val="left"/>
        <w:rPr>
          <w:rFonts w:ascii="宋体" w:eastAsia="宋体" w:hAnsi="宋体" w:cs="宋体"/>
          <w:color w:val="333333"/>
          <w:kern w:val="0"/>
          <w:sz w:val="24"/>
          <w:szCs w:val="24"/>
        </w:rPr>
      </w:pPr>
      <w:r w:rsidRPr="0015195B">
        <w:rPr>
          <w:rFonts w:ascii="宋体" w:eastAsia="宋体" w:hAnsi="宋体" w:cs="宋体" w:hint="eastAsia"/>
          <w:color w:val="333333"/>
          <w:kern w:val="0"/>
          <w:sz w:val="24"/>
          <w:szCs w:val="24"/>
        </w:rPr>
        <w:t>第十六条  本办法自发布之日起施行。</w:t>
      </w:r>
    </w:p>
    <w:sectPr w:rsidR="00D40629" w:rsidRPr="00B467A1" w:rsidSect="00061BA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9D" w:rsidRDefault="00575C9D" w:rsidP="00061BA9">
      <w:r>
        <w:separator/>
      </w:r>
    </w:p>
  </w:endnote>
  <w:endnote w:type="continuationSeparator" w:id="0">
    <w:p w:rsidR="00575C9D" w:rsidRDefault="00575C9D" w:rsidP="0006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9D" w:rsidRDefault="00575C9D" w:rsidP="00061BA9">
      <w:r>
        <w:separator/>
      </w:r>
    </w:p>
  </w:footnote>
  <w:footnote w:type="continuationSeparator" w:id="0">
    <w:p w:rsidR="00575C9D" w:rsidRDefault="00575C9D" w:rsidP="00061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A9" w:rsidRPr="001D6F88" w:rsidRDefault="00061BA9" w:rsidP="00061BA9">
    <w:pPr>
      <w:rPr>
        <w:rFonts w:ascii="黑体" w:eastAsia="黑体" w:hAnsi="黑体"/>
        <w:sz w:val="24"/>
        <w:szCs w:val="24"/>
      </w:rPr>
    </w:pPr>
    <w:r w:rsidRPr="001D6F88">
      <w:rPr>
        <w:rFonts w:ascii="黑体" w:eastAsia="黑体" w:hAnsi="黑体" w:hint="eastAsia"/>
        <w:sz w:val="24"/>
        <w:szCs w:val="24"/>
      </w:rPr>
      <w:t>附件</w:t>
    </w:r>
    <w:r w:rsidR="00190ADF">
      <w:rPr>
        <w:rFonts w:ascii="黑体" w:eastAsia="黑体" w:hAnsi="黑体" w:hint="eastAsia"/>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A1"/>
    <w:rsid w:val="00061BA9"/>
    <w:rsid w:val="00190ADF"/>
    <w:rsid w:val="001D6F88"/>
    <w:rsid w:val="00377752"/>
    <w:rsid w:val="00575C9D"/>
    <w:rsid w:val="00B467A1"/>
    <w:rsid w:val="00D40629"/>
    <w:rsid w:val="00D84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B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1BA9"/>
    <w:rPr>
      <w:sz w:val="18"/>
      <w:szCs w:val="18"/>
    </w:rPr>
  </w:style>
  <w:style w:type="paragraph" w:styleId="a4">
    <w:name w:val="footer"/>
    <w:basedOn w:val="a"/>
    <w:link w:val="Char0"/>
    <w:uiPriority w:val="99"/>
    <w:unhideWhenUsed/>
    <w:rsid w:val="00061BA9"/>
    <w:pPr>
      <w:tabs>
        <w:tab w:val="center" w:pos="4153"/>
        <w:tab w:val="right" w:pos="8306"/>
      </w:tabs>
      <w:snapToGrid w:val="0"/>
      <w:jc w:val="left"/>
    </w:pPr>
    <w:rPr>
      <w:sz w:val="18"/>
      <w:szCs w:val="18"/>
    </w:rPr>
  </w:style>
  <w:style w:type="character" w:customStyle="1" w:styleId="Char0">
    <w:name w:val="页脚 Char"/>
    <w:basedOn w:val="a0"/>
    <w:link w:val="a4"/>
    <w:uiPriority w:val="99"/>
    <w:rsid w:val="00061BA9"/>
    <w:rPr>
      <w:sz w:val="18"/>
      <w:szCs w:val="18"/>
    </w:rPr>
  </w:style>
  <w:style w:type="paragraph" w:styleId="a5">
    <w:name w:val="Balloon Text"/>
    <w:basedOn w:val="a"/>
    <w:link w:val="Char1"/>
    <w:uiPriority w:val="99"/>
    <w:semiHidden/>
    <w:unhideWhenUsed/>
    <w:rsid w:val="00061BA9"/>
    <w:rPr>
      <w:sz w:val="18"/>
      <w:szCs w:val="18"/>
    </w:rPr>
  </w:style>
  <w:style w:type="character" w:customStyle="1" w:styleId="Char1">
    <w:name w:val="批注框文本 Char"/>
    <w:basedOn w:val="a0"/>
    <w:link w:val="a5"/>
    <w:uiPriority w:val="99"/>
    <w:semiHidden/>
    <w:rsid w:val="00061B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B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1BA9"/>
    <w:rPr>
      <w:sz w:val="18"/>
      <w:szCs w:val="18"/>
    </w:rPr>
  </w:style>
  <w:style w:type="paragraph" w:styleId="a4">
    <w:name w:val="footer"/>
    <w:basedOn w:val="a"/>
    <w:link w:val="Char0"/>
    <w:uiPriority w:val="99"/>
    <w:unhideWhenUsed/>
    <w:rsid w:val="00061BA9"/>
    <w:pPr>
      <w:tabs>
        <w:tab w:val="center" w:pos="4153"/>
        <w:tab w:val="right" w:pos="8306"/>
      </w:tabs>
      <w:snapToGrid w:val="0"/>
      <w:jc w:val="left"/>
    </w:pPr>
    <w:rPr>
      <w:sz w:val="18"/>
      <w:szCs w:val="18"/>
    </w:rPr>
  </w:style>
  <w:style w:type="character" w:customStyle="1" w:styleId="Char0">
    <w:name w:val="页脚 Char"/>
    <w:basedOn w:val="a0"/>
    <w:link w:val="a4"/>
    <w:uiPriority w:val="99"/>
    <w:rsid w:val="00061BA9"/>
    <w:rPr>
      <w:sz w:val="18"/>
      <w:szCs w:val="18"/>
    </w:rPr>
  </w:style>
  <w:style w:type="paragraph" w:styleId="a5">
    <w:name w:val="Balloon Text"/>
    <w:basedOn w:val="a"/>
    <w:link w:val="Char1"/>
    <w:uiPriority w:val="99"/>
    <w:semiHidden/>
    <w:unhideWhenUsed/>
    <w:rsid w:val="00061BA9"/>
    <w:rPr>
      <w:sz w:val="18"/>
      <w:szCs w:val="18"/>
    </w:rPr>
  </w:style>
  <w:style w:type="character" w:customStyle="1" w:styleId="Char1">
    <w:name w:val="批注框文本 Char"/>
    <w:basedOn w:val="a0"/>
    <w:link w:val="a5"/>
    <w:uiPriority w:val="99"/>
    <w:semiHidden/>
    <w:rsid w:val="00061B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cp:lastPrinted>2020-11-12T02:42:00Z</cp:lastPrinted>
  <dcterms:created xsi:type="dcterms:W3CDTF">2020-11-10T10:38:00Z</dcterms:created>
  <dcterms:modified xsi:type="dcterms:W3CDTF">2020-11-12T04:44:00Z</dcterms:modified>
</cp:coreProperties>
</file>